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F8CFBEB" w:rsidR="00F4562A" w:rsidRPr="003251BA" w:rsidRDefault="00CE0D4F" w:rsidP="003251BA">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003251BA">
        <w:rPr>
          <w:rFonts w:asciiTheme="minorHAnsi" w:hAnsiTheme="minorHAnsi" w:cs="Arial"/>
          <w:sz w:val="22"/>
        </w:rPr>
        <w:t xml:space="preserve"> consultation porte sur </w:t>
      </w:r>
      <w:r w:rsidR="00594695">
        <w:rPr>
          <w:rFonts w:asciiTheme="minorHAnsi" w:hAnsiTheme="minorHAnsi" w:cs="Arial"/>
          <w:sz w:val="22"/>
        </w:rPr>
        <w:t>l</w:t>
      </w:r>
      <w:r w:rsidR="0027427A">
        <w:rPr>
          <w:rFonts w:asciiTheme="minorHAnsi" w:hAnsiTheme="minorHAnsi" w:cs="Arial"/>
          <w:sz w:val="22"/>
        </w:rPr>
        <w:t>e</w:t>
      </w:r>
      <w:r w:rsidR="00CB5DD6" w:rsidRPr="00CB5DD6">
        <w:rPr>
          <w:rFonts w:asciiTheme="minorHAnsi" w:hAnsiTheme="minorHAnsi" w:cs="Arial"/>
          <w:sz w:val="22"/>
        </w:rPr>
        <w:t xml:space="preserve"> </w:t>
      </w:r>
      <w:r w:rsidR="0027427A" w:rsidRPr="0027427A">
        <w:rPr>
          <w:rFonts w:asciiTheme="minorHAnsi" w:hAnsiTheme="minorHAnsi" w:cs="Arial"/>
          <w:sz w:val="22"/>
        </w:rPr>
        <w:t>Récolement des collections du Musée National de Guinée</w:t>
      </w:r>
      <w:r w:rsidR="0027427A" w:rsidRPr="0027427A">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2CBA460A"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 xml:space="preserve">e statut (Autoentrepreneur, entreprise </w:t>
      </w:r>
      <w:r w:rsidR="00F10C36" w:rsidRPr="00826461">
        <w:rPr>
          <w:rFonts w:asciiTheme="minorHAnsi" w:hAnsiTheme="minorHAnsi" w:cs="Arial"/>
          <w:sz w:val="22"/>
          <w:highlight w:val="lightGray"/>
        </w:rPr>
        <w:t>individuelle</w:t>
      </w:r>
      <w:r w:rsidR="00F10C36">
        <w:rPr>
          <w:rFonts w:asciiTheme="minorHAnsi" w:hAnsiTheme="minorHAnsi" w:cs="Arial"/>
          <w:sz w:val="22"/>
          <w:highlight w:val="lightGray"/>
        </w:rPr>
        <w:t>,</w:t>
      </w:r>
      <w:r w:rsidR="00726C40" w:rsidRPr="00826461">
        <w:rPr>
          <w:rFonts w:asciiTheme="minorHAnsi" w:hAnsiTheme="minorHAnsi" w:cs="Arial"/>
          <w:sz w:val="22"/>
          <w:highlight w:val="lightGray"/>
        </w:rPr>
        <w:t xml:space="preserv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0D3E3B39" w14:textId="21BE09F8" w:rsidR="00F10C36" w:rsidRPr="0027427A" w:rsidRDefault="0094346F" w:rsidP="00F10C36">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F10C36">
        <w:rPr>
          <w:rFonts w:asciiTheme="minorHAnsi" w:hAnsiTheme="minorHAnsi" w:cs="Arial"/>
          <w:sz w:val="22"/>
        </w:rPr>
        <w:t xml:space="preserve">ns le cadre du </w:t>
      </w:r>
      <w:r w:rsidR="0027427A" w:rsidRPr="0027427A">
        <w:rPr>
          <w:rFonts w:asciiTheme="minorHAnsi" w:hAnsiTheme="minorHAnsi" w:cs="Arial"/>
          <w:sz w:val="22"/>
        </w:rPr>
        <w:t>Récolement des collections du Musée National de Guinée</w:t>
      </w:r>
      <w:r w:rsidR="002D7439" w:rsidRPr="0027427A">
        <w:rPr>
          <w:rFonts w:asciiTheme="minorHAnsi" w:hAnsiTheme="minorHAnsi" w:cs="Arial"/>
          <w:sz w:val="22"/>
        </w:rPr>
        <w:t xml:space="preserve">, </w:t>
      </w:r>
    </w:p>
    <w:p w14:paraId="55288F6B" w14:textId="35620A9F" w:rsidR="005B33E4" w:rsidRPr="00F10C36" w:rsidRDefault="005B33E4" w:rsidP="00F10C36">
      <w:pPr>
        <w:spacing w:before="120" w:line="240" w:lineRule="auto"/>
        <w:jc w:val="both"/>
        <w:rPr>
          <w:rFonts w:asciiTheme="minorHAnsi" w:hAnsiTheme="minorHAnsi" w:cstheme="minorHAnsi"/>
          <w:sz w:val="22"/>
          <w:szCs w:val="22"/>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29B809FE" w:rsidR="00C43FF9" w:rsidRPr="003251BA" w:rsidRDefault="003930DF" w:rsidP="00891B43">
      <w:pPr>
        <w:spacing w:before="120" w:line="240" w:lineRule="auto"/>
        <w:jc w:val="both"/>
        <w:rPr>
          <w:rFonts w:asciiTheme="minorHAnsi" w:hAnsiTheme="minorHAnsi" w:cs="Arial"/>
          <w:i/>
          <w:sz w:val="22"/>
        </w:rPr>
      </w:pPr>
      <w:r w:rsidRPr="00F94C76">
        <w:rPr>
          <w:rFonts w:asciiTheme="minorHAnsi" w:hAnsiTheme="minorHAnsi" w:cs="Arial"/>
          <w:sz w:val="22"/>
        </w:rPr>
        <w:t xml:space="preserve">La capacité </w:t>
      </w:r>
      <w:r w:rsidRPr="003251BA">
        <w:rPr>
          <w:rFonts w:asciiTheme="minorHAnsi" w:hAnsiTheme="minorHAnsi" w:cs="Arial"/>
          <w:sz w:val="22"/>
        </w:rPr>
        <w:t xml:space="preserve">économique et financière du candidat sera appréciée sur la base des renseignements portant préciser les éléments portant sur sa capacité à mettre en œuvre pouvant qualifier l’éligibilité de la candidature tels que définis </w:t>
      </w:r>
      <w:r w:rsidR="00133D49">
        <w:rPr>
          <w:rFonts w:asciiTheme="minorHAnsi" w:hAnsiTheme="minorHAnsi" w:cs="Arial"/>
          <w:sz w:val="22"/>
        </w:rPr>
        <w:t xml:space="preserve">dans le règlement de la consultation. </w:t>
      </w:r>
    </w:p>
    <w:p w14:paraId="21094019" w14:textId="77777777" w:rsidR="008D19B9" w:rsidRDefault="005B33E4" w:rsidP="00917221">
      <w:pPr>
        <w:spacing w:before="360"/>
        <w:rPr>
          <w:rFonts w:asciiTheme="minorHAnsi" w:hAnsiTheme="minorHAnsi" w:cs="Arial"/>
          <w:b/>
          <w:sz w:val="28"/>
          <w:szCs w:val="28"/>
          <w:u w:val="single"/>
        </w:rPr>
      </w:pPr>
      <w:r w:rsidRPr="003251BA">
        <w:rPr>
          <w:rFonts w:asciiTheme="minorHAnsi" w:hAnsiTheme="minorHAnsi" w:cs="Arial"/>
          <w:b/>
          <w:sz w:val="28"/>
          <w:szCs w:val="28"/>
          <w:u w:val="single"/>
        </w:rPr>
        <w:t xml:space="preserve">VII – </w:t>
      </w:r>
      <w:r w:rsidR="005F1C61" w:rsidRPr="003251BA">
        <w:rPr>
          <w:rFonts w:asciiTheme="minorHAnsi" w:hAnsiTheme="minorHAnsi" w:cs="Arial"/>
          <w:b/>
          <w:sz w:val="28"/>
          <w:szCs w:val="28"/>
          <w:u w:val="single"/>
        </w:rPr>
        <w:t xml:space="preserve">Renseignements relatifs </w:t>
      </w:r>
      <w:r w:rsidR="007F584C" w:rsidRPr="003251BA">
        <w:rPr>
          <w:rFonts w:asciiTheme="minorHAnsi" w:hAnsiTheme="minorHAnsi" w:cs="Arial"/>
          <w:b/>
          <w:sz w:val="28"/>
          <w:szCs w:val="28"/>
          <w:u w:val="single"/>
        </w:rPr>
        <w:t>aux références du</w:t>
      </w:r>
      <w:r w:rsidR="007F584C" w:rsidRPr="003D7B91">
        <w:rPr>
          <w:rFonts w:asciiTheme="minorHAnsi" w:hAnsiTheme="minorHAnsi" w:cs="Arial"/>
          <w:b/>
          <w:sz w:val="28"/>
          <w:szCs w:val="28"/>
          <w:u w:val="single"/>
        </w:rPr>
        <w:t xml:space="preserve"> candidat</w:t>
      </w:r>
      <w:r w:rsidR="007F584C">
        <w:rPr>
          <w:rFonts w:asciiTheme="minorHAnsi" w:hAnsiTheme="minorHAnsi" w:cs="Arial"/>
          <w:b/>
          <w:sz w:val="28"/>
          <w:szCs w:val="28"/>
          <w:u w:val="single"/>
        </w:rPr>
        <w:t xml:space="preserve"> </w:t>
      </w:r>
    </w:p>
    <w:p w14:paraId="76BC93D9" w14:textId="0B8ED672" w:rsidR="00133D49" w:rsidRDefault="00EB1C73" w:rsidP="00D73590">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w:t>
      </w:r>
      <w:r w:rsidR="00423753" w:rsidRPr="003251BA">
        <w:rPr>
          <w:rFonts w:asciiTheme="minorHAnsi" w:hAnsiTheme="minorHAnsi" w:cs="Arial"/>
          <w:sz w:val="22"/>
        </w:rPr>
        <w:t xml:space="preserve">portant </w:t>
      </w:r>
      <w:r w:rsidR="00836BE8" w:rsidRPr="003251BA">
        <w:rPr>
          <w:rFonts w:asciiTheme="minorHAnsi" w:hAnsiTheme="minorHAnsi" w:cs="Arial"/>
          <w:sz w:val="22"/>
        </w:rPr>
        <w:t xml:space="preserve">préciser les </w:t>
      </w:r>
      <w:r w:rsidR="00423753" w:rsidRPr="003251BA">
        <w:rPr>
          <w:rFonts w:asciiTheme="minorHAnsi" w:hAnsiTheme="minorHAnsi" w:cs="Arial"/>
          <w:sz w:val="22"/>
        </w:rPr>
        <w:t xml:space="preserve">éléments portant sur sa capacité à mettre en œuvre </w:t>
      </w:r>
      <w:r w:rsidR="00836BE8" w:rsidRPr="003251BA">
        <w:rPr>
          <w:rFonts w:asciiTheme="minorHAnsi" w:hAnsiTheme="minorHAnsi" w:cs="Arial"/>
          <w:sz w:val="22"/>
        </w:rPr>
        <w:t>pouvant qualifier l’éligibilité de la candidature</w:t>
      </w:r>
      <w:r w:rsidR="00423753" w:rsidRPr="003251BA">
        <w:rPr>
          <w:rFonts w:asciiTheme="minorHAnsi" w:hAnsiTheme="minorHAnsi" w:cs="Arial"/>
          <w:sz w:val="22"/>
        </w:rPr>
        <w:t xml:space="preserve"> tels que définis </w:t>
      </w:r>
      <w:r w:rsidR="00133D49">
        <w:rPr>
          <w:rFonts w:asciiTheme="minorHAnsi" w:hAnsiTheme="minorHAnsi" w:cs="Arial"/>
          <w:sz w:val="22"/>
        </w:rPr>
        <w:t>dans le règlement de la consultation.</w:t>
      </w:r>
    </w:p>
    <w:p w14:paraId="659C28D8" w14:textId="57DBDF6E" w:rsidR="00D73590" w:rsidRDefault="00D73590" w:rsidP="00D73590">
      <w:pPr>
        <w:spacing w:before="120" w:line="240" w:lineRule="auto"/>
        <w:jc w:val="both"/>
        <w:rPr>
          <w:rFonts w:asciiTheme="minorHAnsi" w:hAnsiTheme="minorHAnsi" w:cs="Arial"/>
          <w:sz w:val="22"/>
        </w:rPr>
      </w:pP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bookmarkStart w:id="0" w:name="_GoBack"/>
      <w:bookmarkEnd w:id="0"/>
    </w:p>
    <w:p w14:paraId="1D3BBE4F" w14:textId="77777777" w:rsidR="00BB0798" w:rsidRPr="00BB0798" w:rsidRDefault="00BB0798" w:rsidP="00BB0798">
      <w:pPr>
        <w:snapToGrid w:val="0"/>
        <w:rPr>
          <w:rFonts w:ascii="Calibri" w:hAnsi="Calibri"/>
          <w:sz w:val="22"/>
          <w:szCs w:val="22"/>
          <w:highlight w:val="lightGray"/>
        </w:rPr>
      </w:pPr>
    </w:p>
    <w:p w14:paraId="6D73695B" w14:textId="094B8FE4" w:rsidR="008945A1"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27427A" w:rsidRPr="0027427A">
        <w:rPr>
          <w:rFonts w:asciiTheme="minorHAnsi" w:hAnsiTheme="minorHAnsi" w:cs="Arial"/>
          <w:sz w:val="22"/>
        </w:rPr>
        <w:t>Récolement des collections du Musée National de Guinée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DE7177"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2F26CC2A" w:rsidR="00BB0798" w:rsidRDefault="00BB0798" w:rsidP="00BB0798">
      <w:pPr>
        <w:snapToGrid w:val="0"/>
        <w:spacing w:before="240" w:after="120"/>
        <w:contextualSpacing/>
        <w:jc w:val="both"/>
        <w:rPr>
          <w:rFonts w:ascii="Calibri" w:hAnsi="Calibri"/>
          <w:sz w:val="18"/>
          <w:szCs w:val="22"/>
        </w:rPr>
      </w:pPr>
    </w:p>
    <w:p w14:paraId="7E734092" w14:textId="19A8E31C" w:rsidR="002F1438" w:rsidRDefault="002F1438" w:rsidP="00BB0798">
      <w:pPr>
        <w:snapToGrid w:val="0"/>
        <w:spacing w:before="240" w:after="120"/>
        <w:contextualSpacing/>
        <w:jc w:val="both"/>
        <w:rPr>
          <w:rFonts w:ascii="Calibri" w:hAnsi="Calibri"/>
          <w:sz w:val="18"/>
          <w:szCs w:val="22"/>
        </w:rPr>
      </w:pPr>
    </w:p>
    <w:p w14:paraId="7F1D663C" w14:textId="24E71308" w:rsidR="002F1438" w:rsidRDefault="002F1438" w:rsidP="00BB0798">
      <w:pPr>
        <w:snapToGrid w:val="0"/>
        <w:spacing w:before="240" w:after="120"/>
        <w:contextualSpacing/>
        <w:jc w:val="both"/>
        <w:rPr>
          <w:rFonts w:ascii="Calibri" w:hAnsi="Calibri"/>
          <w:sz w:val="18"/>
          <w:szCs w:val="22"/>
        </w:rPr>
      </w:pPr>
    </w:p>
    <w:p w14:paraId="4FD1F04C" w14:textId="39F5424B" w:rsidR="002F1438" w:rsidRDefault="002F1438" w:rsidP="00BB0798">
      <w:pPr>
        <w:snapToGrid w:val="0"/>
        <w:spacing w:before="240" w:after="120"/>
        <w:contextualSpacing/>
        <w:jc w:val="both"/>
        <w:rPr>
          <w:rFonts w:ascii="Calibri" w:hAnsi="Calibri"/>
          <w:sz w:val="18"/>
          <w:szCs w:val="22"/>
        </w:rPr>
      </w:pPr>
    </w:p>
    <w:p w14:paraId="10FCFDFB" w14:textId="577B8FEE" w:rsidR="002F1438" w:rsidRDefault="002F1438" w:rsidP="00BB0798">
      <w:pPr>
        <w:snapToGrid w:val="0"/>
        <w:spacing w:before="240" w:after="120"/>
        <w:contextualSpacing/>
        <w:jc w:val="both"/>
        <w:rPr>
          <w:rFonts w:ascii="Calibri" w:hAnsi="Calibri"/>
          <w:sz w:val="18"/>
          <w:szCs w:val="22"/>
        </w:rPr>
      </w:pPr>
    </w:p>
    <w:p w14:paraId="3A4D7A60" w14:textId="1BB3B184" w:rsidR="002F1438" w:rsidRDefault="002F1438" w:rsidP="00BB0798">
      <w:pPr>
        <w:snapToGrid w:val="0"/>
        <w:spacing w:before="240" w:after="120"/>
        <w:contextualSpacing/>
        <w:jc w:val="both"/>
        <w:rPr>
          <w:rFonts w:ascii="Calibri" w:hAnsi="Calibri"/>
          <w:sz w:val="18"/>
          <w:szCs w:val="22"/>
        </w:rPr>
      </w:pPr>
    </w:p>
    <w:p w14:paraId="57ADC8F4" w14:textId="56778CBD" w:rsidR="002F1438" w:rsidRDefault="002F1438" w:rsidP="00BB0798">
      <w:pPr>
        <w:snapToGrid w:val="0"/>
        <w:spacing w:before="240" w:after="120"/>
        <w:contextualSpacing/>
        <w:jc w:val="both"/>
        <w:rPr>
          <w:rFonts w:ascii="Calibri" w:hAnsi="Calibri"/>
          <w:sz w:val="18"/>
          <w:szCs w:val="22"/>
        </w:rPr>
      </w:pPr>
    </w:p>
    <w:p w14:paraId="435F1FA7" w14:textId="40B24D93" w:rsidR="002F1438" w:rsidRDefault="002F1438" w:rsidP="00BB0798">
      <w:pPr>
        <w:snapToGrid w:val="0"/>
        <w:spacing w:before="240" w:after="120"/>
        <w:contextualSpacing/>
        <w:jc w:val="both"/>
        <w:rPr>
          <w:rFonts w:ascii="Calibri" w:hAnsi="Calibri"/>
          <w:sz w:val="18"/>
          <w:szCs w:val="22"/>
        </w:rPr>
      </w:pPr>
    </w:p>
    <w:p w14:paraId="1356E7F5" w14:textId="3C8AC8AF" w:rsidR="002F1438" w:rsidRDefault="002F1438" w:rsidP="00BB0798">
      <w:pPr>
        <w:snapToGrid w:val="0"/>
        <w:spacing w:before="240" w:after="120"/>
        <w:contextualSpacing/>
        <w:jc w:val="both"/>
        <w:rPr>
          <w:rFonts w:ascii="Calibri" w:hAnsi="Calibri"/>
          <w:sz w:val="18"/>
          <w:szCs w:val="22"/>
        </w:rPr>
      </w:pPr>
    </w:p>
    <w:p w14:paraId="3341C7B4" w14:textId="77777777" w:rsidR="002F1438" w:rsidRPr="00BB0798" w:rsidRDefault="002F143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21E73745" w14:textId="1F7C491C" w:rsidR="002F1438" w:rsidRDefault="002F1438" w:rsidP="00BB0798">
      <w:pPr>
        <w:snapToGrid w:val="0"/>
        <w:spacing w:line="240" w:lineRule="auto"/>
        <w:rPr>
          <w:rFonts w:ascii="Calibri" w:hAnsi="Calibri"/>
          <w:sz w:val="22"/>
          <w:szCs w:val="22"/>
        </w:rPr>
      </w:pPr>
    </w:p>
    <w:p w14:paraId="43A38667" w14:textId="77777777" w:rsidR="002F1438" w:rsidRPr="00BB0798" w:rsidRDefault="002F143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669.9pt" o:ole="">
            <v:imagedata r:id="rId22" o:title=""/>
          </v:shape>
          <o:OLEObject Type="Embed" ProgID="Excel.Sheet.12" ShapeID="_x0000_i1025" DrawAspect="Content" ObjectID="_1814076484"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CD03B1" w14:textId="77777777" w:rsidR="00DE7177" w:rsidRDefault="00DE7177">
      <w:r>
        <w:separator/>
      </w:r>
    </w:p>
  </w:endnote>
  <w:endnote w:type="continuationSeparator" w:id="0">
    <w:p w14:paraId="1F721EF2" w14:textId="77777777" w:rsidR="00DE7177" w:rsidRDefault="00DE7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2B2C68C"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7427A">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7427A">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240C6D9"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E717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E7177">
                              <w:rPr>
                                <w:rFonts w:asciiTheme="minorHAnsi" w:hAnsiTheme="minorHAnsi"/>
                                <w:b/>
                                <w:bCs/>
                                <w:noProof/>
                                <w:sz w:val="22"/>
                                <w:szCs w:val="22"/>
                              </w:rPr>
                              <w:t>1</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1EB92B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27427A">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27427A">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8628500"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7427A">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7427A">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DE7177"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80A79B" w14:textId="77777777" w:rsidR="00DE7177" w:rsidRDefault="00DE7177">
      <w:r>
        <w:separator/>
      </w:r>
    </w:p>
  </w:footnote>
  <w:footnote w:type="continuationSeparator" w:id="0">
    <w:p w14:paraId="664028CD" w14:textId="77777777" w:rsidR="00DE7177" w:rsidRDefault="00DE7177">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savePreviewPicture/>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3D49"/>
    <w:rsid w:val="001355B6"/>
    <w:rsid w:val="00137C01"/>
    <w:rsid w:val="0014061E"/>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237D"/>
    <w:rsid w:val="00214286"/>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427A"/>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D7439"/>
    <w:rsid w:val="002E1114"/>
    <w:rsid w:val="002E2198"/>
    <w:rsid w:val="002E2FFB"/>
    <w:rsid w:val="002E3017"/>
    <w:rsid w:val="002E4757"/>
    <w:rsid w:val="002E55D9"/>
    <w:rsid w:val="002E5FAA"/>
    <w:rsid w:val="002F072C"/>
    <w:rsid w:val="002F1438"/>
    <w:rsid w:val="002F15E4"/>
    <w:rsid w:val="002F50BD"/>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51BA"/>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4695"/>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45A1"/>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3882"/>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6FB"/>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1B1E"/>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16FA"/>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1E3F"/>
    <w:rsid w:val="00CB28C5"/>
    <w:rsid w:val="00CB4394"/>
    <w:rsid w:val="00CB5DD6"/>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177"/>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2881"/>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C3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1773"/>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F70215-F8EA-4D7D-901E-B49EBCA5CB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TotalTime>
  <Pages>7</Pages>
  <Words>1567</Words>
  <Characters>8620</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10167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Jean KONE</cp:lastModifiedBy>
  <cp:revision>6</cp:revision>
  <cp:lastPrinted>2016-03-24T23:23:00Z</cp:lastPrinted>
  <dcterms:created xsi:type="dcterms:W3CDTF">2025-06-04T12:32:00Z</dcterms:created>
  <dcterms:modified xsi:type="dcterms:W3CDTF">2025-07-15T09:22:00Z</dcterms:modified>
</cp:coreProperties>
</file>